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F2" w:rsidRDefault="00EA6175" w:rsidP="00C004A2">
      <w:pPr>
        <w:ind w:firstLineChars="100" w:firstLine="241"/>
        <w:jc w:val="center"/>
      </w:pPr>
      <w:r>
        <w:rPr>
          <w:rFonts w:ascii="新宋体" w:eastAsia="新宋体" w:hAnsi="新宋体" w:hint="eastAsia"/>
          <w:b/>
          <w:bCs/>
          <w:color w:val="000000" w:themeColor="text1"/>
          <w:sz w:val="24"/>
        </w:rPr>
        <w:t>感控工作间服务</w:t>
      </w:r>
      <w:r w:rsidR="000A7EE2">
        <w:rPr>
          <w:rFonts w:ascii="新宋体" w:eastAsia="新宋体" w:hAnsi="新宋体" w:hint="eastAsia"/>
          <w:b/>
          <w:bCs/>
          <w:color w:val="000000" w:themeColor="text1"/>
          <w:sz w:val="24"/>
        </w:rPr>
        <w:t>项目需求</w:t>
      </w:r>
    </w:p>
    <w:tbl>
      <w:tblPr>
        <w:tblW w:w="8851" w:type="dxa"/>
        <w:jc w:val="center"/>
        <w:tblCellMar>
          <w:left w:w="0" w:type="dxa"/>
          <w:right w:w="0" w:type="dxa"/>
        </w:tblCellMar>
        <w:tblLook w:val="04A0"/>
      </w:tblPr>
      <w:tblGrid>
        <w:gridCol w:w="1955"/>
        <w:gridCol w:w="1684"/>
        <w:gridCol w:w="5212"/>
      </w:tblGrid>
      <w:tr w:rsidR="006F77F2">
        <w:trPr>
          <w:trHeight w:val="516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适用场景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功能说明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详单</w:t>
            </w:r>
          </w:p>
        </w:tc>
      </w:tr>
      <w:tr w:rsidR="006F77F2">
        <w:trPr>
          <w:trHeight w:val="435"/>
          <w:jc w:val="center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1.医院感染管理组织在线</w:t>
            </w:r>
            <w:r>
              <w:rPr>
                <w:rStyle w:val="font31"/>
                <w:rFonts w:hint="default"/>
                <w:color w:val="000000" w:themeColor="text1"/>
                <w:sz w:val="18"/>
                <w:szCs w:val="18"/>
              </w:rPr>
              <w:t>（正常使用准备）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人员、管理组织和权限管理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单元管理（新增、修改、禁用/启用、删除）</w:t>
            </w:r>
          </w:p>
        </w:tc>
      </w:tr>
      <w:tr w:rsidR="006F77F2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院区管理（新增、修改、禁用/启用、删除)</w:t>
            </w:r>
          </w:p>
        </w:tc>
      </w:tr>
      <w:tr w:rsidR="006F77F2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员工管理（新增、修改、注销、审核）</w:t>
            </w:r>
          </w:p>
        </w:tc>
      </w:tr>
      <w:tr w:rsidR="006F77F2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管理员权限设置</w:t>
            </w:r>
          </w:p>
        </w:tc>
      </w:tr>
      <w:tr w:rsidR="006F77F2">
        <w:trPr>
          <w:trHeight w:val="435"/>
          <w:jc w:val="center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2.工作资料/内容在线</w:t>
            </w:r>
          </w:p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Style w:val="font31"/>
                <w:rFonts w:hint="default"/>
                <w:color w:val="000000" w:themeColor="text1"/>
                <w:sz w:val="18"/>
                <w:szCs w:val="18"/>
              </w:rPr>
              <w:t>（小蜘蛛：适用于查找感控相关指南、文献等内容库及学习与交流的平台）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资料库和知识社区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每周持续更新的指南标准库</w:t>
            </w:r>
          </w:p>
        </w:tc>
      </w:tr>
      <w:tr w:rsidR="006F77F2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不定期持续更新的公开课</w:t>
            </w:r>
          </w:p>
        </w:tc>
      </w:tr>
      <w:tr w:rsidR="006F77F2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定期更新的国内外文献库</w:t>
            </w:r>
          </w:p>
        </w:tc>
      </w:tr>
      <w:tr w:rsidR="006F77F2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各类专业问答互动搜索区</w:t>
            </w:r>
          </w:p>
        </w:tc>
      </w:tr>
      <w:tr w:rsidR="006F77F2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使用用户经验分享区</w:t>
            </w:r>
          </w:p>
        </w:tc>
      </w:tr>
      <w:tr w:rsidR="006F77F2">
        <w:trPr>
          <w:trHeight w:val="871"/>
          <w:jc w:val="center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3.全员知识培训与测评（考试）在线</w:t>
            </w:r>
            <w:r>
              <w:rPr>
                <w:rStyle w:val="font31"/>
                <w:rFonts w:hint="default"/>
                <w:color w:val="000000" w:themeColor="text1"/>
                <w:sz w:val="18"/>
                <w:szCs w:val="18"/>
              </w:rPr>
              <w:t>（培训易，适合各级医务人员学习、培训、测评、考试）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支持预设学习考试任务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支持预设学习、考试任务，自定义设置阅读时长、习题正确率、习题完成率</w:t>
            </w:r>
          </w:p>
        </w:tc>
      </w:tr>
      <w:tr w:rsidR="006F77F2">
        <w:trPr>
          <w:trHeight w:val="717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参与形式不受限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适用电脑或手机在线操作，各级各岗位医务人员二维码扫码参与（无需下载APP）</w:t>
            </w:r>
          </w:p>
        </w:tc>
      </w:tr>
      <w:tr w:rsidR="006F77F2">
        <w:trPr>
          <w:trHeight w:val="8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平台内容共享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平台内3000道感染防控基础试题，1600多个课件与教学视频，可调用和添加在学习考试任务</w:t>
            </w:r>
          </w:p>
        </w:tc>
      </w:tr>
      <w:tr w:rsidR="006F77F2">
        <w:trPr>
          <w:trHeight w:val="1264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建设院内内容库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支持自定义上传指南标准、制度、流程、预案的文件、培训课件、教学视频等（指定格式视频+图像+PDF文件)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  <w:t>支持自定义上传试题、试卷，也支持使用平台题库随机出卷</w:t>
            </w:r>
          </w:p>
        </w:tc>
      </w:tr>
      <w:tr w:rsidR="006F77F2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消息提醒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学习考试任务消息提醒与推送功能</w:t>
            </w:r>
          </w:p>
        </w:tc>
      </w:tr>
      <w:tr w:rsidR="006F77F2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考卷存档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试卷存档、考生考卷一键存档</w:t>
            </w:r>
          </w:p>
        </w:tc>
      </w:tr>
      <w:tr w:rsidR="006F77F2">
        <w:trPr>
          <w:trHeight w:val="102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学习统计报表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学习统计分析报表（学习概况、已完成名单/未完成名单、课时学习统计、高级统计</w:t>
            </w:r>
          </w:p>
        </w:tc>
      </w:tr>
      <w:tr w:rsidR="006F77F2">
        <w:trPr>
          <w:trHeight w:val="953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测评/考试统计报表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参考情况、成绩概况、错题集及错题分析、成绩单/未考名单、高级统计</w:t>
            </w:r>
          </w:p>
        </w:tc>
      </w:tr>
      <w:tr w:rsidR="006F77F2">
        <w:trPr>
          <w:trHeight w:val="978"/>
          <w:jc w:val="center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4.督查改进多人协同在线</w:t>
            </w:r>
            <w:r>
              <w:rPr>
                <w:rStyle w:val="font31"/>
                <w:rFonts w:hint="default"/>
                <w:color w:val="000000" w:themeColor="text1"/>
                <w:sz w:val="18"/>
                <w:szCs w:val="18"/>
              </w:rPr>
              <w:t>（督改易，适用于SDCA循环和PDCA循环）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随机督查（PDCA）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院科两级未启用电子查检表发现任何不规范操作、行为和场景或管理漏洞时从“发现不规范不达标项-分析-改进-评价/总结”全过程在线；</w:t>
            </w:r>
          </w:p>
        </w:tc>
      </w:tr>
      <w:tr w:rsidR="006F77F2">
        <w:trPr>
          <w:trHeight w:val="953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标准督查（SDCA）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院科两级制定电子查检表并启用电子查检表发现任何不规范操作、行为和场景或管理漏洞时从“发现不规范不达标项-分析-改进-评价/总结”全过程在线</w:t>
            </w:r>
          </w:p>
        </w:tc>
      </w:tr>
      <w:tr w:rsidR="006F77F2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消息提醒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协同督导/改进环节消息提醒与推送功能</w:t>
            </w:r>
          </w:p>
        </w:tc>
      </w:tr>
      <w:tr w:rsidR="006F77F2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改进过程可视化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不规范不达标项改进列表</w:t>
            </w:r>
          </w:p>
        </w:tc>
      </w:tr>
      <w:tr w:rsidR="006F77F2">
        <w:trPr>
          <w:trHeight w:val="642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任务详单、问题类别排名分析、科室问题类别构成分析、督导问题类别列表</w:t>
            </w:r>
          </w:p>
        </w:tc>
      </w:tr>
      <w:tr w:rsidR="006F77F2">
        <w:trPr>
          <w:trHeight w:val="516"/>
          <w:jc w:val="center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5.移动智能查检在线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（智查易，适用各专项、专科督查）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支持10种评价方式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卫生执行专用（5个时刻观察）评估模型、“通用”类型、“通用-不计分”类型、“专项”类型、“专项-不计分”类型、“评分”类型、“评分等级”类型、“等级评分”类型、“未达标扣分”类型、“环境物表评价”类型</w:t>
            </w:r>
          </w:p>
        </w:tc>
      </w:tr>
      <w:tr w:rsidR="006F77F2">
        <w:trPr>
          <w:trHeight w:val="753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专家推荐版移动智能查检表模板供参考使用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“专家推荐版标准预防与全院通用感染防控电子化查检表”类、“专家推荐专科专项感染防控标准电子化查检表”类、“世界卫生组织（WHO)医疗机构感染防控自我评估框架IPCAF电子化调查表”类</w:t>
            </w:r>
          </w:p>
        </w:tc>
      </w:tr>
      <w:tr w:rsidR="006F77F2">
        <w:trPr>
          <w:trHeight w:val="657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自定义表格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将院内的纸质查检表导入上传，编辑，并选择以上评价方式变为电子化查检表</w:t>
            </w:r>
          </w:p>
        </w:tc>
      </w:tr>
      <w:tr w:rsidR="006F77F2">
        <w:trPr>
          <w:trHeight w:val="642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手卫生查检统计报表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督导单元/岗位/个人-时机/指征-依从性/正确率、手卫生执行不规范分析</w:t>
            </w:r>
          </w:p>
        </w:tc>
      </w:tr>
      <w:tr w:rsidR="006F77F2">
        <w:trPr>
          <w:trHeight w:val="954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多场景防控执行查检统计报表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完成任务统计/督查得分及排名、督查条目分析等统计分析报表</w:t>
            </w:r>
          </w:p>
        </w:tc>
      </w:tr>
      <w:tr w:rsidR="006F77F2">
        <w:trPr>
          <w:trHeight w:val="657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特殊患者管理查检统计报表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完成任务统计/督查得分及排名、督查条目分析等统计分析报表</w:t>
            </w:r>
          </w:p>
        </w:tc>
      </w:tr>
      <w:tr w:rsidR="006F77F2">
        <w:trPr>
          <w:trHeight w:val="90"/>
          <w:jc w:val="center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6.用品消耗管理在线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（用品易，支持消耗品维护、领用及库存数据采集）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用品使用登记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消耗品（洗手液、快速手消毒液、消毒湿巾、干手纸等）维护、领用、库存数据采集</w:t>
            </w:r>
          </w:p>
        </w:tc>
      </w:tr>
      <w:tr w:rsidR="006F77F2">
        <w:trPr>
          <w:trHeight w:val="652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6F77F2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F77F2" w:rsidRDefault="00EA617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消耗量分析/排名/成本统计、总消耗量/人均消耗量/每床日消耗量统计</w:t>
            </w:r>
          </w:p>
        </w:tc>
      </w:tr>
    </w:tbl>
    <w:p w:rsidR="006F77F2" w:rsidRDefault="006F77F2">
      <w:bookmarkStart w:id="0" w:name="_GoBack"/>
      <w:bookmarkEnd w:id="0"/>
    </w:p>
    <w:sectPr w:rsidR="006F77F2" w:rsidSect="006F77F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8F5" w:rsidRDefault="00EF18F5" w:rsidP="006F77F2">
      <w:r>
        <w:separator/>
      </w:r>
    </w:p>
  </w:endnote>
  <w:endnote w:type="continuationSeparator" w:id="1">
    <w:p w:rsidR="00EF18F5" w:rsidRDefault="00EF18F5" w:rsidP="006F7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F2" w:rsidRDefault="00A66A88">
    <w:pPr>
      <w:pStyle w:val="a3"/>
      <w:tabs>
        <w:tab w:val="clear" w:pos="4153"/>
        <w:tab w:val="clear" w:pos="8306"/>
        <w:tab w:val="right" w:pos="9072"/>
      </w:tabs>
      <w:ind w:firstLineChars="100" w:firstLine="210"/>
      <w:rPr>
        <w:rFonts w:asciiTheme="minorEastAsia" w:eastAsiaTheme="minorEastAsia" w:hAnsiTheme="minorEastAsia"/>
        <w:sz w:val="21"/>
        <w:szCs w:val="21"/>
      </w:rPr>
    </w:pPr>
    <w:r w:rsidRPr="00A66A88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-.25pt;margin-top:0;width:453.85pt;height:2in;z-index:251659264;mso-position-horizontal-relative:margin" o:gfxdata="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f77oK1AAAAAYBAAAPAAAAAAAAAAEAIAAA&#10;ACIAAABkcnMvZG93bnJldi54bWxQSwECFAAUAAAACACHTuJA5lprHNcBAACnAwAADgAAAAAAAAAB&#10;ACAAAAAjAQAAZHJzL2Uyb0RvYy54bWxQSwUGAAAAAAYABgBZAQAAbAUAAAAA&#10;" filled="f" stroked="f">
          <v:textbox style="mso-fit-shape-to-text:t" inset="0,0,0,0">
            <w:txbxContent>
              <w:p w:rsidR="006F77F2" w:rsidRDefault="00EA6175" w:rsidP="00C004A2">
                <w:pPr>
                  <w:pStyle w:val="a3"/>
                  <w:tabs>
                    <w:tab w:val="clear" w:pos="4153"/>
                    <w:tab w:val="clear" w:pos="8306"/>
                    <w:tab w:val="right" w:pos="9072"/>
                  </w:tabs>
                  <w:ind w:firstLineChars="100" w:firstLine="210"/>
                  <w:jc w:val="center"/>
                </w:pPr>
                <w:r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第</w:t>
                </w:r>
                <w:r w:rsidR="00A66A88">
                  <w:rPr>
                    <w:rFonts w:asciiTheme="minorEastAsia" w:eastAsiaTheme="minorEastAsia" w:hAnsiTheme="minorEastAsia"/>
                    <w:sz w:val="21"/>
                    <w:szCs w:val="21"/>
                  </w:rPr>
                  <w:fldChar w:fldCharType="begin"/>
                </w:r>
                <w:r>
                  <w:rPr>
                    <w:rFonts w:asciiTheme="minorEastAsia" w:eastAsiaTheme="minorEastAsia" w:hAnsiTheme="minorEastAsia"/>
                    <w:sz w:val="21"/>
                    <w:szCs w:val="21"/>
                  </w:rPr>
                  <w:instrText xml:space="preserve"> PAGE   \* MERGEFORMAT </w:instrText>
                </w:r>
                <w:r w:rsidR="00A66A88">
                  <w:rPr>
                    <w:rFonts w:asciiTheme="minorEastAsia" w:eastAsiaTheme="minorEastAsia" w:hAnsiTheme="minorEastAsia"/>
                    <w:sz w:val="21"/>
                    <w:szCs w:val="21"/>
                  </w:rPr>
                  <w:fldChar w:fldCharType="separate"/>
                </w:r>
                <w:r w:rsidR="000A7EE2">
                  <w:rPr>
                    <w:rFonts w:asciiTheme="minorEastAsia" w:eastAsiaTheme="minorEastAsia" w:hAnsiTheme="minorEastAsia"/>
                    <w:noProof/>
                    <w:sz w:val="21"/>
                    <w:szCs w:val="21"/>
                  </w:rPr>
                  <w:t>1</w:t>
                </w:r>
                <w:r w:rsidR="00A66A88">
                  <w:rPr>
                    <w:rFonts w:asciiTheme="minorEastAsia" w:eastAsiaTheme="minorEastAsia" w:hAnsiTheme="minorEastAsia"/>
                    <w:sz w:val="21"/>
                    <w:szCs w:val="21"/>
                  </w:rPr>
                  <w:fldChar w:fldCharType="end"/>
                </w:r>
                <w:r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页</w:t>
                </w:r>
                <w:r>
                  <w:rPr>
                    <w:rFonts w:asciiTheme="minorEastAsia" w:eastAsiaTheme="minorEastAsia" w:hAnsiTheme="minorEastAsia"/>
                    <w:sz w:val="21"/>
                    <w:szCs w:val="21"/>
                  </w:rPr>
                  <w:t>/</w:t>
                </w:r>
                <w:r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共2页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8F5" w:rsidRDefault="00EF18F5" w:rsidP="006F77F2">
      <w:r>
        <w:separator/>
      </w:r>
    </w:p>
  </w:footnote>
  <w:footnote w:type="continuationSeparator" w:id="1">
    <w:p w:rsidR="00EF18F5" w:rsidRDefault="00EF18F5" w:rsidP="006F7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F2" w:rsidRDefault="006F77F2">
    <w:pPr>
      <w:pStyle w:val="a4"/>
      <w:pBdr>
        <w:bottom w:val="none" w:sz="0" w:space="1" w:color="auto"/>
      </w:pBdr>
      <w:jc w:val="both"/>
      <w:rPr>
        <w:rFonts w:asciiTheme="minorEastAsia" w:eastAsiaTheme="minorEastAsia" w:hAnsiTheme="minorEastAsia"/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JmOTdjODE0ZTUzMGRkMzYxOTMzNWI4NGRiODQ5M2UifQ=="/>
  </w:docVars>
  <w:rsids>
    <w:rsidRoot w:val="006F77F2"/>
    <w:rsid w:val="00007746"/>
    <w:rsid w:val="000A7EE2"/>
    <w:rsid w:val="006F77F2"/>
    <w:rsid w:val="00A66A88"/>
    <w:rsid w:val="00C004A2"/>
    <w:rsid w:val="00DF7EA3"/>
    <w:rsid w:val="00E903A7"/>
    <w:rsid w:val="00EA6175"/>
    <w:rsid w:val="00EF18F5"/>
    <w:rsid w:val="011B1F7A"/>
    <w:rsid w:val="111A2A2E"/>
    <w:rsid w:val="187E7492"/>
    <w:rsid w:val="22461EF2"/>
    <w:rsid w:val="335403FE"/>
    <w:rsid w:val="3E6A1EE9"/>
    <w:rsid w:val="40417152"/>
    <w:rsid w:val="40FE62F4"/>
    <w:rsid w:val="50D21B2A"/>
    <w:rsid w:val="5770601C"/>
    <w:rsid w:val="66C73BD0"/>
    <w:rsid w:val="6DE36CCD"/>
    <w:rsid w:val="7BCE4313"/>
    <w:rsid w:val="7C6F1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7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6F7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F7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10"/>
    <w:qFormat/>
    <w:rsid w:val="006F7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31">
    <w:name w:val="font31"/>
    <w:basedOn w:val="a0"/>
    <w:qFormat/>
    <w:rsid w:val="006F77F2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">
    <w:name w:val="样式1"/>
    <w:basedOn w:val="a5"/>
    <w:qFormat/>
    <w:rsid w:val="006F77F2"/>
    <w:pPr>
      <w:spacing w:line="360" w:lineRule="auto"/>
    </w:pPr>
    <w:rPr>
      <w:rFonts w:asciiTheme="minorHAnsi" w:eastAsiaTheme="minorEastAsia" w:hAnsiTheme="minorHAnsi" w:cstheme="minorBidi"/>
      <w:bCs w:val="0"/>
      <w:szCs w:val="24"/>
    </w:rPr>
  </w:style>
  <w:style w:type="paragraph" w:styleId="a6">
    <w:name w:val="Balloon Text"/>
    <w:basedOn w:val="a"/>
    <w:link w:val="Char"/>
    <w:rsid w:val="00E903A7"/>
    <w:rPr>
      <w:sz w:val="18"/>
      <w:szCs w:val="18"/>
    </w:rPr>
  </w:style>
  <w:style w:type="character" w:customStyle="1" w:styleId="Char">
    <w:name w:val="批注框文本 Char"/>
    <w:basedOn w:val="a0"/>
    <w:link w:val="a6"/>
    <w:rsid w:val="00E903A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2023-07-27T02:04:00Z</dcterms:created>
  <dcterms:modified xsi:type="dcterms:W3CDTF">2023-07-27T02:12:00Z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6F27244094AC4B768DBDA7CEB3F924F4</vt:lpwstr>
  </property>
</Properties>
</file>