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ind w:firstLine="720" w:firstLineChars="200"/>
        <w:jc w:val="center"/>
        <w:rPr>
          <w:rFonts w:hint="eastAsia" w:ascii="长城小标宋体" w:eastAsia="长城小标宋体"/>
          <w:sz w:val="36"/>
          <w:szCs w:val="36"/>
        </w:rPr>
      </w:pPr>
      <w:bookmarkStart w:id="0" w:name="bookmark2"/>
      <w:r>
        <w:rPr>
          <w:rFonts w:hint="eastAsia" w:ascii="长城小标宋体" w:eastAsia="长城小标宋体"/>
          <w:sz w:val="36"/>
          <w:szCs w:val="36"/>
        </w:rPr>
        <w:t>赣州市</w:t>
      </w:r>
      <w:r>
        <w:rPr>
          <w:rFonts w:hint="eastAsia" w:ascii="长城小标宋体" w:eastAsia="长城小标宋体"/>
          <w:sz w:val="36"/>
          <w:szCs w:val="36"/>
          <w:lang w:eastAsia="zh-CN"/>
        </w:rPr>
        <w:t>中医院</w:t>
      </w:r>
      <w:r>
        <w:rPr>
          <w:rFonts w:hint="eastAsia" w:ascii="长城小标宋体" w:eastAsia="长城小标宋体"/>
          <w:sz w:val="36"/>
          <w:szCs w:val="36"/>
        </w:rPr>
        <w:t>临床医师合理用药年度积分卡考核管理办法（试行）</w:t>
      </w:r>
      <w:bookmarkEnd w:id="0"/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1" w:name="bookmark3"/>
      <w:r>
        <w:rPr>
          <w:rFonts w:hint="eastAsia" w:ascii="黑体" w:hAnsi="黑体" w:eastAsia="黑体"/>
          <w:sz w:val="32"/>
          <w:szCs w:val="32"/>
        </w:rPr>
        <w:t>一、</w:t>
      </w:r>
      <w:bookmarkEnd w:id="1"/>
      <w:bookmarkStart w:id="2" w:name="bookmark4"/>
      <w:r>
        <w:rPr>
          <w:rFonts w:hint="eastAsia" w:ascii="黑体" w:hAnsi="黑体" w:eastAsia="黑体"/>
          <w:sz w:val="32"/>
          <w:szCs w:val="32"/>
        </w:rPr>
        <w:t>考核要求</w:t>
      </w:r>
      <w:bookmarkEnd w:id="2"/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对全院具有处方权的医师实行12分积分管理。凡经查实不合理使用药物的，</w:t>
      </w:r>
      <w:r>
        <w:rPr>
          <w:rFonts w:hint="eastAsia" w:ascii="仿宋_GB2312" w:eastAsia="仿宋_GB2312"/>
          <w:color w:val="auto"/>
          <w:sz w:val="32"/>
          <w:szCs w:val="32"/>
        </w:rPr>
        <w:t>依据不同情</w:t>
      </w:r>
      <w:r>
        <w:rPr>
          <w:rFonts w:hint="eastAsia" w:ascii="仿宋_GB2312" w:eastAsia="仿宋_GB2312"/>
          <w:sz w:val="32"/>
          <w:szCs w:val="32"/>
        </w:rPr>
        <w:t>形扣分，并给予扣减绩效，扣完6分的医师给予诫勉谈话，年度内扣完12分的医师予暂停使用处方权，调离临床岗位一个月，经培训考试合格后才能恢复处方权，同时</w:t>
      </w:r>
      <w:r>
        <w:rPr>
          <w:rFonts w:hint="eastAsia" w:ascii="仿宋_GB2312" w:eastAsia="仿宋_GB2312"/>
          <w:sz w:val="32"/>
          <w:szCs w:val="32"/>
          <w:lang w:eastAsia="zh-CN"/>
        </w:rPr>
        <w:t>在合理用药监控</w:t>
      </w:r>
      <w:r>
        <w:rPr>
          <w:rFonts w:hint="eastAsia" w:ascii="仿宋_GB2312" w:eastAsia="仿宋_GB2312"/>
          <w:sz w:val="32"/>
          <w:szCs w:val="32"/>
        </w:rPr>
        <w:t>每月进行动态公示，每季度对积分情况进行排名公示。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3" w:name="bookmark5"/>
      <w:r>
        <w:rPr>
          <w:rFonts w:hint="eastAsia" w:ascii="黑体" w:hAnsi="黑体" w:eastAsia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、扣分标准</w:t>
      </w:r>
      <w:bookmarkEnd w:id="3"/>
    </w:p>
    <w:p>
      <w:pPr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(一）抗菌药物使用不规范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1、被江西省“阳光医药”网上监察系统监测为红牌的处方医生，扣12分；监测为黄牌的处方医生，扣6分。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2、抗菌药物的应用指征：无指征用药扣3分；有指征，但病程中无记录及分析扣1分;无预防性应用抗菌药物指征扣3分，无记录及分析扣1分。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3、抗菌药物的分级管理：越级使用限制级药品扣3分，越级使用特殊级药品扣6分，门诊使用特殊级药品扣6分。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4、抗菌药物的联合应用指征（二联及二联以上应用）：联合应用抗菌药物指征不明确扣3分；联合用药药品选择不合理，扣1分。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5、经验性使用抗菌药物：经验性应用抗菌药物违反抗菌药物临床应用指导原则的，扣1分。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6、微生物学标本的检测：门诊或轻症患者可</w:t>
      </w:r>
      <w:r>
        <w:rPr>
          <w:rFonts w:hint="eastAsia" w:ascii="仿宋_GB2312"/>
          <w:sz w:val="32"/>
          <w:szCs w:val="32"/>
        </w:rPr>
        <w:t>釆</w:t>
      </w:r>
      <w:r>
        <w:rPr>
          <w:rFonts w:hint="eastAsia" w:ascii="仿宋_GB2312" w:eastAsia="仿宋_GB2312"/>
          <w:sz w:val="32"/>
          <w:szCs w:val="32"/>
        </w:rPr>
        <w:t>用经验性治疗，不必找病原菌，住院患者使用限制级药品未留取标本做病原学检查的扣1分，使用特殊级药品未留取标本做病原学检查的扣 2分。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7、抗菌药物的应用疗程：未按规定及时停用抗菌药物的扣2分；出现抗菌药物使用过长现象，没有加以分析的，扣1分。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8、抗菌药物的选择：未根据病原菌种类及药敏结果选用抗菌药物，扣1分；预防用抗菌药物没有目的性的扣1分。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给药剂量，给药途径，给药次数：给药剂量不合理的，扣0.5分；给药次数不合理，术前给药以手术切开皮肤为准，手术记录中要记录切皮的具体时间，并有记录到分，术前给药的具体次数及具体时间未明确在病历中体现，违反扣0.5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10、抗菌药物的更换：抗菌药物的更换必须要有记录，同时应说明更换理由，无扣1分。</w:t>
      </w:r>
    </w:p>
    <w:p>
      <w:pPr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(二）中药注射剂等六大类药物临床不合理使用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1、不合理使用中药注射剂的，每次扣2分；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2、不合理使用营养辅助类药物的，每次扣2分；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3、不合理使用消化类药物的，每次扣2分；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4、不合理使用抗肿瘤药及肿瘤辅助类药物的，每次扣2分;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5、不合理使用心脑血管类药物的，每次扣2分；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6、不合理使用生物制品类药物的，每次扣2分。</w:t>
      </w:r>
    </w:p>
    <w:p>
      <w:pPr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(三）开具其他不合理用药处方（含医嘱）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1、对于开具不规范处方的医生，每次扣0.5分；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2、对于开具用药不适宜处方（或医嘱）的医生，每次扣1分；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3、对于开具超常处方（或医嘱）的医生，每次扣2分，</w:t>
      </w:r>
    </w:p>
    <w:p>
      <w:pPr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(四）漏报、瞒报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对于漏报、瞒报药品不良反应的医生每次扣1分；漏报、瞒报严重的或新的药品不良反应的医生每次扣3分；巳上报药品不良反应但在病程中无记录的每次扣1分。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、附则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(一）同一处方或病历若同时违反两项及两项以上标准的， 视具体情况按至少最低一项处罚标准以上扣罚。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(二）以上扣分处罚基于每月处方点评及各种合理用药专项点评结果，即由医院合理用药监督小组开会讨论认定，经专家点评认定为不合理用药则按相关扣分标准进行扣罚，并在每月</w:t>
      </w:r>
      <w:r>
        <w:rPr>
          <w:rFonts w:hint="eastAsia" w:ascii="仿宋_GB2312" w:eastAsia="仿宋_GB2312"/>
          <w:color w:val="FF0000"/>
          <w:sz w:val="32"/>
          <w:szCs w:val="32"/>
        </w:rPr>
        <w:t>质量通讯</w:t>
      </w:r>
      <w:r>
        <w:rPr>
          <w:rFonts w:hint="eastAsia" w:ascii="仿宋_GB2312" w:eastAsia="仿宋_GB2312"/>
          <w:sz w:val="32"/>
          <w:szCs w:val="32"/>
        </w:rPr>
        <w:t>中予以公布。</w:t>
      </w:r>
    </w:p>
    <w:p>
      <w:pPr>
        <w:spacing w:before="0" w:beforeAutospacing="0" w:after="0" w:afterAutospacing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(三)相关医师对处方点评结果存在疑问，可写好申诉材料，上报医务科及药事管理和药物治疗学委员会，由医院合理用药监督小组讨论认定。</w:t>
      </w:r>
    </w:p>
    <w:p>
      <w:pPr>
        <w:spacing w:before="0" w:beforeAutospacing="0" w:after="0" w:afterAutospacing="0" w:line="560" w:lineRule="exact"/>
        <w:rPr>
          <w:rFonts w:hint="eastAsia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FrankRuehl">
    <w:altName w:val="MV Boli"/>
    <w:panose1 w:val="020E0503060101010101"/>
    <w:charset w:val="B1"/>
    <w:family w:val="swiss"/>
    <w:pitch w:val="default"/>
    <w:sig w:usb0="00000000" w:usb1="00000000" w:usb2="00000000" w:usb3="00000000" w:csb0="0000002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V Boli">
    <w:panose1 w:val="02000500030200090000"/>
    <w:charset w:val="00"/>
    <w:family w:val="auto"/>
    <w:pitch w:val="default"/>
    <w:sig w:usb0="00000000" w:usb1="00000000" w:usb2="000001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B7CA2"/>
    <w:rsid w:val="7C735F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2018-02-24T01:04:21Z</cp:lastPrinted>
  <dcterms:modified xsi:type="dcterms:W3CDTF">2018-02-24T01:09:57Z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